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A1" w:rsidRPr="00B304BB" w:rsidRDefault="008667A1" w:rsidP="008667A1">
      <w:pPr>
        <w:widowControl/>
        <w:spacing w:line="480" w:lineRule="auto"/>
        <w:jc w:val="center"/>
        <w:rPr>
          <w:rFonts w:ascii="楷体_GB2312" w:eastAsia="楷体_GB2312" w:hAnsi="宋体" w:cs="宋体"/>
          <w:b/>
          <w:color w:val="000000"/>
          <w:kern w:val="0"/>
          <w:sz w:val="32"/>
          <w:szCs w:val="32"/>
        </w:rPr>
      </w:pPr>
      <w:r>
        <w:rPr>
          <w:rFonts w:ascii="楷体_GB2312" w:eastAsia="楷体_GB2312" w:hAnsi="宋体" w:cs="宋体"/>
          <w:b/>
          <w:color w:val="000000"/>
          <w:kern w:val="0"/>
          <w:sz w:val="32"/>
          <w:szCs w:val="32"/>
        </w:rPr>
        <w:t>2015</w:t>
      </w:r>
      <w:r>
        <w:rPr>
          <w:rFonts w:ascii="楷体_GB2312" w:eastAsia="楷体_GB2312" w:hAnsi="宋体" w:cs="宋体" w:hint="eastAsia"/>
          <w:b/>
          <w:color w:val="000000"/>
          <w:kern w:val="0"/>
          <w:sz w:val="32"/>
          <w:szCs w:val="32"/>
        </w:rPr>
        <w:t>年上半年人文社会科学科研项目立项一览表</w:t>
      </w:r>
    </w:p>
    <w:tbl>
      <w:tblPr>
        <w:tblW w:w="0" w:type="auto"/>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7937"/>
        <w:gridCol w:w="3685"/>
        <w:gridCol w:w="1560"/>
      </w:tblGrid>
      <w:tr w:rsidR="008667A1" w:rsidRPr="000E2202" w:rsidTr="003651C6">
        <w:trPr>
          <w:trHeight w:val="431"/>
          <w:jc w:val="center"/>
        </w:trPr>
        <w:tc>
          <w:tcPr>
            <w:tcW w:w="1014" w:type="dxa"/>
            <w:vAlign w:val="center"/>
          </w:tcPr>
          <w:p w:rsidR="008667A1" w:rsidRPr="000E2202" w:rsidRDefault="008667A1" w:rsidP="003651C6">
            <w:pPr>
              <w:jc w:val="center"/>
              <w:rPr>
                <w:rFonts w:ascii="黑体" w:eastAsia="黑体" w:hAnsi="黑体"/>
                <w:b/>
              </w:rPr>
            </w:pPr>
            <w:r w:rsidRPr="000E2202">
              <w:rPr>
                <w:rFonts w:ascii="黑体" w:eastAsia="黑体" w:hAnsi="黑体" w:hint="eastAsia"/>
                <w:b/>
              </w:rPr>
              <w:t>序号</w:t>
            </w:r>
          </w:p>
        </w:tc>
        <w:tc>
          <w:tcPr>
            <w:tcW w:w="7937" w:type="dxa"/>
            <w:vAlign w:val="center"/>
          </w:tcPr>
          <w:p w:rsidR="008667A1" w:rsidRPr="000E2202" w:rsidRDefault="008667A1" w:rsidP="003651C6">
            <w:pPr>
              <w:jc w:val="center"/>
              <w:rPr>
                <w:rFonts w:ascii="黑体" w:eastAsia="黑体" w:hAnsi="黑体"/>
                <w:b/>
              </w:rPr>
            </w:pPr>
            <w:r w:rsidRPr="000E2202">
              <w:rPr>
                <w:rFonts w:ascii="黑体" w:eastAsia="黑体" w:hAnsi="黑体" w:hint="eastAsia"/>
                <w:b/>
              </w:rPr>
              <w:t>项目名称</w:t>
            </w:r>
          </w:p>
        </w:tc>
        <w:tc>
          <w:tcPr>
            <w:tcW w:w="3685" w:type="dxa"/>
            <w:vAlign w:val="center"/>
          </w:tcPr>
          <w:p w:rsidR="008667A1" w:rsidRPr="000E2202" w:rsidRDefault="008667A1" w:rsidP="003651C6">
            <w:pPr>
              <w:jc w:val="center"/>
              <w:rPr>
                <w:rFonts w:ascii="黑体" w:eastAsia="黑体" w:hAnsi="黑体"/>
                <w:b/>
              </w:rPr>
            </w:pPr>
            <w:r w:rsidRPr="000E2202">
              <w:rPr>
                <w:rFonts w:ascii="黑体" w:eastAsia="黑体" w:hAnsi="黑体" w:hint="eastAsia"/>
                <w:b/>
              </w:rPr>
              <w:t>项目类别</w:t>
            </w:r>
          </w:p>
        </w:tc>
        <w:tc>
          <w:tcPr>
            <w:tcW w:w="1560" w:type="dxa"/>
            <w:vAlign w:val="center"/>
          </w:tcPr>
          <w:p w:rsidR="008667A1" w:rsidRPr="000E2202" w:rsidRDefault="008667A1" w:rsidP="003651C6">
            <w:pPr>
              <w:jc w:val="center"/>
              <w:rPr>
                <w:rFonts w:ascii="黑体" w:eastAsia="黑体" w:hAnsi="黑体"/>
                <w:b/>
              </w:rPr>
            </w:pPr>
            <w:r w:rsidRPr="000E2202">
              <w:rPr>
                <w:rFonts w:ascii="黑体" w:eastAsia="黑体" w:hAnsi="黑体" w:hint="eastAsia"/>
                <w:b/>
              </w:rPr>
              <w:t>负责人</w:t>
            </w:r>
          </w:p>
        </w:tc>
      </w:tr>
      <w:tr w:rsidR="008667A1" w:rsidRPr="000E2202" w:rsidTr="003651C6">
        <w:trPr>
          <w:trHeight w:val="259"/>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中世纪印度穆斯林种姓问题研究</w:t>
            </w:r>
            <w:r w:rsidRPr="001D077F">
              <w:rPr>
                <w:rFonts w:ascii="宋体" w:cs="Tahoma"/>
                <w:color w:val="000000"/>
                <w:kern w:val="0"/>
                <w:sz w:val="20"/>
                <w:szCs w:val="20"/>
              </w:rPr>
              <w:t> </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国家社科基金项目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蔡晶</w:t>
            </w:r>
          </w:p>
        </w:tc>
      </w:tr>
      <w:tr w:rsidR="008667A1" w:rsidRPr="000E2202" w:rsidTr="003651C6">
        <w:trPr>
          <w:trHeight w:val="349"/>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全球传播进程中我国体育文化的现代性及价值重构</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国家社科基金项目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薛红卫</w:t>
            </w:r>
          </w:p>
        </w:tc>
      </w:tr>
      <w:tr w:rsidR="008667A1" w:rsidRPr="000E2202" w:rsidTr="003651C6">
        <w:trPr>
          <w:trHeight w:val="70"/>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多元文化场域下马克思主义意识形态话语权建设研究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国家社科基金项目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张国臣</w:t>
            </w:r>
          </w:p>
        </w:tc>
      </w:tr>
      <w:tr w:rsidR="008667A1" w:rsidRPr="000E2202" w:rsidTr="003651C6">
        <w:trPr>
          <w:trHeight w:val="103"/>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历史虚无主义思潮对大学生的影响及对策研究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国家社科基金项目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张尚字</w:t>
            </w:r>
          </w:p>
        </w:tc>
      </w:tr>
      <w:tr w:rsidR="008667A1" w:rsidRPr="000E2202" w:rsidTr="003651C6">
        <w:trPr>
          <w:trHeight w:val="194"/>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街道社会治理创新和社区社会工作推进的协同研究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民政部</w:t>
            </w:r>
            <w:r w:rsidRPr="001D077F">
              <w:rPr>
                <w:rFonts w:ascii="宋体" w:hAnsi="宋体" w:cs="Tahoma"/>
                <w:color w:val="000000"/>
                <w:kern w:val="0"/>
                <w:sz w:val="20"/>
                <w:szCs w:val="20"/>
              </w:rPr>
              <w:t>2015</w:t>
            </w:r>
            <w:r w:rsidRPr="001D077F">
              <w:rPr>
                <w:rFonts w:ascii="宋体" w:hAnsi="宋体" w:cs="Tahoma" w:hint="eastAsia"/>
                <w:color w:val="000000"/>
                <w:kern w:val="0"/>
                <w:sz w:val="20"/>
                <w:szCs w:val="20"/>
              </w:rPr>
              <w:t>年度招标课题</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孔娜娜</w:t>
            </w:r>
          </w:p>
        </w:tc>
      </w:tr>
      <w:tr w:rsidR="008667A1" w:rsidRPr="000E2202" w:rsidTr="003651C6">
        <w:trPr>
          <w:trHeight w:val="169"/>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当代中国马克思主义大众化研究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河南省社科文库项目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曹根记</w:t>
            </w:r>
          </w:p>
        </w:tc>
      </w:tr>
      <w:tr w:rsidR="008667A1" w:rsidRPr="000E2202" w:rsidTr="003651C6">
        <w:trPr>
          <w:trHeight w:val="118"/>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河南省高校科技创新人才（人文社科类）</w:t>
            </w:r>
          </w:p>
        </w:tc>
        <w:tc>
          <w:tcPr>
            <w:tcW w:w="3685" w:type="dxa"/>
            <w:vAlign w:val="center"/>
          </w:tcPr>
          <w:p w:rsidR="008667A1" w:rsidRPr="001D077F" w:rsidRDefault="008667A1" w:rsidP="003651C6">
            <w:pPr>
              <w:rPr>
                <w:rFonts w:ascii="宋体" w:cs="Tahoma"/>
                <w:color w:val="000000"/>
                <w:kern w:val="0"/>
                <w:sz w:val="20"/>
                <w:szCs w:val="20"/>
              </w:rPr>
            </w:pP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贺山峰</w:t>
            </w:r>
          </w:p>
        </w:tc>
      </w:tr>
      <w:tr w:rsidR="008667A1" w:rsidRPr="000E2202" w:rsidTr="003651C6">
        <w:trPr>
          <w:trHeight w:val="268"/>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河南省高校科技创新人才（人文社科类）</w:t>
            </w:r>
          </w:p>
        </w:tc>
        <w:tc>
          <w:tcPr>
            <w:tcW w:w="3685" w:type="dxa"/>
            <w:vAlign w:val="center"/>
          </w:tcPr>
          <w:p w:rsidR="008667A1" w:rsidRPr="001D077F" w:rsidRDefault="008667A1" w:rsidP="003651C6">
            <w:pPr>
              <w:rPr>
                <w:rFonts w:ascii="宋体" w:cs="Tahoma"/>
                <w:color w:val="000000"/>
                <w:kern w:val="0"/>
                <w:sz w:val="20"/>
                <w:szCs w:val="20"/>
              </w:rPr>
            </w:pP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乔旭宁</w:t>
            </w:r>
          </w:p>
        </w:tc>
      </w:tr>
      <w:tr w:rsidR="008667A1" w:rsidRPr="000E2202" w:rsidTr="003651C6">
        <w:trPr>
          <w:trHeight w:val="268"/>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河南省高校哲学社会科学优秀学者资助计划</w:t>
            </w:r>
          </w:p>
        </w:tc>
        <w:tc>
          <w:tcPr>
            <w:tcW w:w="3685" w:type="dxa"/>
            <w:vAlign w:val="center"/>
          </w:tcPr>
          <w:p w:rsidR="008667A1" w:rsidRPr="001D077F" w:rsidRDefault="008667A1" w:rsidP="003651C6">
            <w:pPr>
              <w:rPr>
                <w:rFonts w:ascii="宋体" w:cs="Tahoma"/>
                <w:color w:val="000000"/>
                <w:kern w:val="0"/>
                <w:sz w:val="20"/>
                <w:szCs w:val="20"/>
              </w:rPr>
            </w:pP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樊良新</w:t>
            </w:r>
          </w:p>
        </w:tc>
      </w:tr>
      <w:tr w:rsidR="008667A1" w:rsidRPr="000E2202"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习近平总书记文艺座谈会后的中原作家群审美趋向和价值追求研究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河南省高校哲学社会科学基础研究重大项目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徐春浩</w:t>
            </w:r>
          </w:p>
        </w:tc>
      </w:tr>
      <w:tr w:rsidR="008667A1" w:rsidRPr="000E2202"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生态视域中的当代女性文学史论</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河南省高校人文社科优秀著作资助项目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文红霞</w:t>
            </w:r>
          </w:p>
        </w:tc>
      </w:tr>
      <w:tr w:rsidR="008667A1" w:rsidRPr="000E2202"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当代音乐研究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河南省高校人文社科优秀著作资助项目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王红英</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有限公司中小股东退出法律制度适用检讨</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以公司治理为视角</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翟宝红</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大型节庆旅游活动安全风险评估及防控策略</w:t>
            </w:r>
            <w:r w:rsidRPr="001D077F">
              <w:rPr>
                <w:rFonts w:ascii="宋体" w:cs="Tahoma"/>
                <w:color w:val="000000"/>
                <w:kern w:val="0"/>
                <w:sz w:val="20"/>
                <w:szCs w:val="20"/>
              </w:rPr>
              <w:t>-</w:t>
            </w:r>
            <w:r w:rsidRPr="001D077F">
              <w:rPr>
                <w:rFonts w:ascii="宋体" w:hAnsi="宋体" w:cs="Tahoma" w:hint="eastAsia"/>
                <w:color w:val="000000"/>
                <w:kern w:val="0"/>
                <w:sz w:val="20"/>
                <w:szCs w:val="20"/>
              </w:rPr>
              <w:t>以河南省为例</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周晓冰</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物流服务供应链网络对制造企业的作用机理研究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李姗姗</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乡镇政府职能转变的阻碍因素与对策研究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薛金礼</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河南省非物质文化遗产旅游开发研究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何艳冰</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18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河南省非物质文化遗产保护与利用研究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王宏</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lastRenderedPageBreak/>
              <w:t>19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教师惩戒行为研究：以刑法为中心</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程莹</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普通高校特殊群体学生就业心理变化的特点及疏导机制研究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尹祥</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民间资本参与河南新型城镇化建设的金融支持研究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于静</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网络隐私权保护的道德与法律平衡对策研究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解斐斐</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河南省濒危武术文化保护与发展研究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王燚</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传统武术知识产权保护研究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蔡骞</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中原经济区背景下</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河南省武术文化旅游开发的战略研究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焦春</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基于胜任力的高校图书馆学科馆员绩效评价研究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赵小翠</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虚构中的真实</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奥康纳作品的社会历史批评研究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王春香</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拜厄特小说中的神话、童话与人物形象塑造研究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余阳</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29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中国设计教育在</w:t>
            </w:r>
            <w:r w:rsidRPr="001D077F">
              <w:rPr>
                <w:rFonts w:ascii="宋体" w:hAnsi="宋体" w:cs="Tahoma"/>
                <w:color w:val="000000"/>
                <w:kern w:val="0"/>
                <w:sz w:val="20"/>
                <w:szCs w:val="20"/>
              </w:rPr>
              <w:t>80</w:t>
            </w:r>
            <w:r w:rsidRPr="001D077F">
              <w:rPr>
                <w:rFonts w:ascii="宋体" w:hAnsi="宋体" w:cs="Tahoma" w:hint="eastAsia"/>
                <w:color w:val="000000"/>
                <w:kern w:val="0"/>
                <w:sz w:val="20"/>
                <w:szCs w:val="20"/>
              </w:rPr>
              <w:t>年代的变革及其课程体系的建构研究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潘沛</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三星电子的品牌设计</w:t>
            </w:r>
            <w:r w:rsidRPr="001D077F">
              <w:rPr>
                <w:rFonts w:ascii="宋体" w:cs="Tahoma"/>
                <w:color w:val="000000"/>
                <w:kern w:val="0"/>
                <w:sz w:val="20"/>
                <w:szCs w:val="20"/>
              </w:rPr>
              <w:t>---</w:t>
            </w:r>
            <w:r w:rsidRPr="001D077F">
              <w:rPr>
                <w:rFonts w:ascii="宋体" w:hAnsi="宋体" w:cs="Tahoma" w:hint="eastAsia"/>
                <w:color w:val="000000"/>
                <w:kern w:val="0"/>
                <w:sz w:val="20"/>
                <w:szCs w:val="20"/>
              </w:rPr>
              <w:t>案例分析</w:t>
            </w:r>
            <w:r w:rsidRPr="001D077F">
              <w:rPr>
                <w:rFonts w:ascii="宋体" w:cs="Tahoma"/>
                <w:color w:val="000000"/>
                <w:kern w:val="0"/>
                <w:sz w:val="20"/>
                <w:szCs w:val="20"/>
              </w:rPr>
              <w:t>-</w:t>
            </w:r>
            <w:r w:rsidRPr="001D077F">
              <w:rPr>
                <w:rFonts w:ascii="宋体" w:hAnsi="宋体" w:cs="Tahoma" w:hint="eastAsia"/>
                <w:color w:val="000000"/>
                <w:kern w:val="0"/>
                <w:sz w:val="20"/>
                <w:szCs w:val="20"/>
              </w:rPr>
              <w:t>三星电子的设计战略：成为世界顶级公司</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卜天</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夏米娜德的钢琴音乐创作及演奏研究</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以女性主义为研究视角</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戴菲</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基于多特征提取的音乐可视化方法研究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孔娟</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秦至汉初简帛篆隶文字编</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史德新</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基于语料库的英语学习者语义韵概念迁移研究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许丹丹</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环境犯罪刑事立法问题研究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徐宜可</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河南省污染行业企业环境责任的履行现状及其制度性影响因素的实证研究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靳小翠</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河南地方高校职员制改革与薪酬体系研究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韩学锋</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lastRenderedPageBreak/>
              <w:t>38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异质经济理性视角下矿工故意违章行为干预研究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申</w:t>
            </w:r>
            <w:r w:rsidRPr="001D077F">
              <w:rPr>
                <w:rFonts w:ascii="宋体" w:hAnsi="宋体" w:cs="Tahoma"/>
                <w:color w:val="000000"/>
                <w:kern w:val="0"/>
                <w:sz w:val="20"/>
                <w:szCs w:val="20"/>
              </w:rPr>
              <w:t xml:space="preserve">  </w:t>
            </w:r>
            <w:r w:rsidRPr="001D077F">
              <w:rPr>
                <w:rFonts w:ascii="宋体" w:hAnsi="宋体" w:cs="Tahoma" w:hint="eastAsia"/>
                <w:color w:val="000000"/>
                <w:kern w:val="0"/>
                <w:sz w:val="20"/>
                <w:szCs w:val="20"/>
              </w:rPr>
              <w:t>霞</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39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基于实体经济结构与融资需求匹配的金融体系研究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刘悦</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面向可持续发展的河南煤炭矿区生态环境损失评价及补偿机制研究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郭巧玲</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中原经济区城市旅游效率测评及影响因素研究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王伟</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“三个自信”视阈下高校思想政治教育创新研究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陈留根</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43</w:t>
            </w:r>
          </w:p>
        </w:tc>
        <w:tc>
          <w:tcPr>
            <w:tcW w:w="7937" w:type="dxa"/>
            <w:vAlign w:val="center"/>
          </w:tcPr>
          <w:p w:rsidR="008667A1" w:rsidRPr="001D077F" w:rsidRDefault="008667A1" w:rsidP="003651C6">
            <w:pPr>
              <w:rPr>
                <w:rFonts w:ascii="宋体" w:cs="Tahoma"/>
                <w:color w:val="000000"/>
                <w:kern w:val="0"/>
                <w:sz w:val="20"/>
                <w:szCs w:val="20"/>
              </w:rPr>
            </w:pPr>
            <w:proofErr w:type="spellStart"/>
            <w:r w:rsidRPr="001D077F">
              <w:rPr>
                <w:rFonts w:ascii="宋体" w:hAnsi="宋体" w:cs="Tahoma"/>
                <w:color w:val="000000"/>
                <w:kern w:val="0"/>
                <w:sz w:val="20"/>
                <w:szCs w:val="20"/>
              </w:rPr>
              <w:t>Mooc</w:t>
            </w:r>
            <w:proofErr w:type="spellEnd"/>
            <w:r w:rsidRPr="001D077F">
              <w:rPr>
                <w:rFonts w:ascii="宋体" w:hAnsi="宋体" w:cs="Tahoma" w:hint="eastAsia"/>
                <w:color w:val="000000"/>
                <w:kern w:val="0"/>
                <w:sz w:val="20"/>
                <w:szCs w:val="20"/>
              </w:rPr>
              <w:t>环境下大学生信息素养教育研究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张新红</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福克纳与莫言文学思想研究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张宏涛</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color w:val="000000"/>
                <w:kern w:val="0"/>
                <w:sz w:val="20"/>
                <w:szCs w:val="20"/>
              </w:rPr>
              <w:t>K-POP</w:t>
            </w:r>
            <w:r w:rsidRPr="001D077F">
              <w:rPr>
                <w:rFonts w:ascii="宋体" w:hAnsi="宋体" w:cs="Tahoma" w:hint="eastAsia"/>
                <w:color w:val="000000"/>
                <w:kern w:val="0"/>
                <w:sz w:val="20"/>
                <w:szCs w:val="20"/>
              </w:rPr>
              <w:t>与韩剧受欢迎的因素对国家形象与产品态度的影响研究</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以河南省大学生为例</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全贞花</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《点石斋画报》图式研究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杨慧丹</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中美大学生请求言语行为策略的跨文化研究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燕玉芝</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社会语言学视角下汉语社交称谓语的社会文化变异研究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白桂芬</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49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马克思恩格斯社会制度伦理思想及其时代意义</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葛宇宁</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如何让“中原作家群”在实现中国梦进程中</w:t>
            </w:r>
            <w:r w:rsidRPr="001D077F">
              <w:rPr>
                <w:rFonts w:ascii="宋体" w:hAnsi="宋体" w:cs="Tahoma"/>
                <w:color w:val="000000"/>
                <w:kern w:val="0"/>
                <w:sz w:val="20"/>
                <w:szCs w:val="20"/>
              </w:rPr>
              <w:t xml:space="preserve">    </w:t>
            </w:r>
            <w:r w:rsidRPr="001D077F">
              <w:rPr>
                <w:rFonts w:ascii="宋体" w:hAnsi="宋体" w:cs="Tahoma" w:hint="eastAsia"/>
                <w:color w:val="000000"/>
                <w:kern w:val="0"/>
                <w:sz w:val="20"/>
                <w:szCs w:val="20"/>
              </w:rPr>
              <w:t>更出彩的策略研究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徐春浩</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鲁迅与台湾乡土小说研究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孙拥军</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投资者情绪与企业投资效率：基于利益相关者行为影响视角</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张如</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基于内部审计视角的高校治理体系和治理能力现代化研究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郎付山</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中原经济区雾霾治理与城市社会经济发展之间关系的实证研究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揣小明</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面向可持续发展的河南省区域用水总量控制及风险研究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杨云松</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基于客观赋权法的河南省突发环境污染事故风险受体脆弱性空间分异特征研究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李义玲</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lastRenderedPageBreak/>
              <w:t>57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豫北地区特色村镇住宅人文生态环境适应性研究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刘军瑞</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新型城镇化进程中河南省城市综合承载力提升路径研究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张小虎</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59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教育事业单位内控研究</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以河南为例</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李亚鲁</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国外著名新型高校智库建设经验与借鉴</w:t>
            </w:r>
            <w:r w:rsidRPr="001D077F">
              <w:rPr>
                <w:rFonts w:ascii="宋体" w:hAnsi="宋体" w:cs="Tahoma"/>
                <w:color w:val="000000"/>
                <w:kern w:val="0"/>
                <w:sz w:val="20"/>
                <w:szCs w:val="20"/>
              </w:rPr>
              <w:t>——</w:t>
            </w:r>
            <w:r w:rsidRPr="001D077F">
              <w:rPr>
                <w:rFonts w:ascii="宋体" w:hAnsi="宋体" w:cs="Tahoma" w:hint="eastAsia"/>
                <w:color w:val="000000"/>
                <w:kern w:val="0"/>
                <w:sz w:val="20"/>
                <w:szCs w:val="20"/>
              </w:rPr>
              <w:t>以美国、英国、瑞士、澳大利亚四国为例</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杨晓斐</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魏晋反玄学思潮研究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阎秋凤</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网络宣传与意识形态话语权研究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李伟</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新媒体环境下的高校图书馆阅读推广研究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杜小保</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布赖特·哈特短篇小说中生态女性主义解读</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王俊英</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基于隐喻的汝瓷文化创意产品设计研究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黄晶</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非英语专业大学生英语词汇磨蚀的相关因素研究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河南省教育厅人文社会科学研究项目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刘庭华</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新形势下加强青少年思想引导的路径和载体研究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共青团河南省委、河南省社科联</w:t>
            </w:r>
            <w:r w:rsidRPr="001D077F">
              <w:rPr>
                <w:rFonts w:ascii="宋体" w:hAnsi="宋体" w:cs="Tahoma"/>
                <w:color w:val="000000"/>
                <w:kern w:val="0"/>
                <w:sz w:val="20"/>
                <w:szCs w:val="20"/>
              </w:rPr>
              <w:t>2015</w:t>
            </w:r>
            <w:r w:rsidRPr="001D077F">
              <w:rPr>
                <w:rFonts w:ascii="宋体" w:hAnsi="宋体" w:cs="Tahoma" w:hint="eastAsia"/>
                <w:color w:val="000000"/>
                <w:kern w:val="0"/>
                <w:sz w:val="20"/>
                <w:szCs w:val="20"/>
              </w:rPr>
              <w:t>年度专项调研课题（青少年工作研究）</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何军</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留守青少年独立能力及影响因素的实证研究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共青团河南省委、河南省社科联</w:t>
            </w:r>
            <w:r w:rsidRPr="001D077F">
              <w:rPr>
                <w:rFonts w:ascii="宋体" w:hAnsi="宋体" w:cs="Tahoma"/>
                <w:color w:val="000000"/>
                <w:kern w:val="0"/>
                <w:sz w:val="20"/>
                <w:szCs w:val="20"/>
              </w:rPr>
              <w:t>2015</w:t>
            </w:r>
            <w:r w:rsidRPr="001D077F">
              <w:rPr>
                <w:rFonts w:ascii="宋体" w:hAnsi="宋体" w:cs="Tahoma" w:hint="eastAsia"/>
                <w:color w:val="000000"/>
                <w:kern w:val="0"/>
                <w:sz w:val="20"/>
                <w:szCs w:val="20"/>
              </w:rPr>
              <w:t>年度专项调研课题（青少年工作研究）</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莫少华</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69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河南省建筑业劳动力资源现状调查研究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张建设</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基于地图可视化的图书情报分析研究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王雅萍</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高校图书馆资源共享建设研究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刘春霞</w:t>
            </w:r>
          </w:p>
        </w:tc>
      </w:tr>
      <w:tr w:rsidR="008667A1" w:rsidTr="003651C6">
        <w:trPr>
          <w:trHeight w:val="41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转型期图书馆的社会责任研究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邓立恒</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公共图书馆在电子政务中的社会责任研究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张新红</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基于微信的图书馆服务模式研究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吕学才</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lastRenderedPageBreak/>
              <w:t>75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网络一代大学生的信息行为特征与图书馆服务策略研究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郭琼</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现代图书馆知识管理</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许雁伟</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功能语篇分析在大学英语教学中的应用研究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康燕来</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大学英语教师职业发展行动研究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许莎莎</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79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当前高校非英语专业大学英语课堂英美文学只是导入研究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赵素花</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对比语言学与第二语言习得关联性研究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吕静</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中美大学生请求言语行为策略的跨文化研究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燕玉芝</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《流体力学与流体机械》大班教学多层次互动方式研究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李同卓</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高校毕业生就业实习基地建设模式研究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张洪良</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网络媒体对大学生思想政治教育的影响研究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李姗姗</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85</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高校家庭经济困难学生认定方法研究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康件丽</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86</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河南省部分高校大学生兼职问题研究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刘婷</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87</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体育运动促使理工科大学生社会适应能力研究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梁勋</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88</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城乡一体化下新农村社区建设创新研究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王晓梅</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89</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雾霾的成因及综合治疗对策研究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郭景霞</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90</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国内外环境管制政策的比较研究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王丽萍</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91</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河南省生态文明建设绩效评价体系设计和激励约束机制构建</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何苗</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92</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破解河南资源型城市脆弱性的对策和建议</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徐君</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lastRenderedPageBreak/>
              <w:t>93</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河南文化产业发展趋势与问题研究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张亚红</w:t>
            </w:r>
          </w:p>
        </w:tc>
      </w:tr>
      <w:tr w:rsidR="008667A1" w:rsidTr="003651C6">
        <w:trPr>
          <w:trHeight w:val="431"/>
          <w:jc w:val="center"/>
        </w:trPr>
        <w:tc>
          <w:tcPr>
            <w:tcW w:w="1014"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color w:val="000000"/>
                <w:kern w:val="0"/>
                <w:sz w:val="20"/>
                <w:szCs w:val="20"/>
              </w:rPr>
              <w:t>94</w:t>
            </w:r>
          </w:p>
        </w:tc>
        <w:tc>
          <w:tcPr>
            <w:tcW w:w="7937"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河南现代物流业与经济发展互动关系研究</w:t>
            </w:r>
          </w:p>
        </w:tc>
        <w:tc>
          <w:tcPr>
            <w:tcW w:w="3685" w:type="dxa"/>
            <w:vAlign w:val="center"/>
          </w:tcPr>
          <w:p w:rsidR="008667A1" w:rsidRPr="001D077F" w:rsidRDefault="008667A1" w:rsidP="003651C6">
            <w:pPr>
              <w:rPr>
                <w:rFonts w:ascii="宋体" w:cs="Tahoma"/>
                <w:color w:val="000000"/>
                <w:kern w:val="0"/>
                <w:sz w:val="20"/>
                <w:szCs w:val="20"/>
              </w:rPr>
            </w:pPr>
            <w:r w:rsidRPr="001D077F">
              <w:rPr>
                <w:rFonts w:ascii="宋体" w:hAnsi="宋体" w:cs="Tahoma" w:hint="eastAsia"/>
                <w:color w:val="000000"/>
                <w:kern w:val="0"/>
                <w:sz w:val="20"/>
                <w:szCs w:val="20"/>
              </w:rPr>
              <w:t>河南省社科联项目</w:t>
            </w:r>
          </w:p>
        </w:tc>
        <w:tc>
          <w:tcPr>
            <w:tcW w:w="1560" w:type="dxa"/>
            <w:vAlign w:val="center"/>
          </w:tcPr>
          <w:p w:rsidR="008667A1" w:rsidRPr="001D077F" w:rsidRDefault="008667A1" w:rsidP="003651C6">
            <w:pPr>
              <w:jc w:val="center"/>
              <w:rPr>
                <w:rFonts w:ascii="宋体" w:cs="Tahoma"/>
                <w:color w:val="000000"/>
                <w:kern w:val="0"/>
                <w:sz w:val="20"/>
                <w:szCs w:val="20"/>
              </w:rPr>
            </w:pPr>
            <w:r w:rsidRPr="001D077F">
              <w:rPr>
                <w:rFonts w:ascii="宋体" w:hAnsi="宋体" w:cs="Tahoma" w:hint="eastAsia"/>
                <w:color w:val="000000"/>
                <w:kern w:val="0"/>
                <w:sz w:val="20"/>
                <w:szCs w:val="20"/>
              </w:rPr>
              <w:t>王晖</w:t>
            </w:r>
          </w:p>
        </w:tc>
      </w:tr>
    </w:tbl>
    <w:p w:rsidR="00C46267" w:rsidRDefault="00C46267"/>
    <w:sectPr w:rsidR="00C46267" w:rsidSect="008667A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67A1"/>
    <w:rsid w:val="00032B15"/>
    <w:rsid w:val="00033559"/>
    <w:rsid w:val="00034349"/>
    <w:rsid w:val="00061CD2"/>
    <w:rsid w:val="00062434"/>
    <w:rsid w:val="0007125F"/>
    <w:rsid w:val="00080560"/>
    <w:rsid w:val="00082927"/>
    <w:rsid w:val="0009214E"/>
    <w:rsid w:val="000B2A0E"/>
    <w:rsid w:val="000C14F9"/>
    <w:rsid w:val="000C6F42"/>
    <w:rsid w:val="001035C8"/>
    <w:rsid w:val="001139C1"/>
    <w:rsid w:val="00183C88"/>
    <w:rsid w:val="001A6911"/>
    <w:rsid w:val="001C0614"/>
    <w:rsid w:val="001C210C"/>
    <w:rsid w:val="001D3F03"/>
    <w:rsid w:val="0020673A"/>
    <w:rsid w:val="002407A6"/>
    <w:rsid w:val="00265680"/>
    <w:rsid w:val="00272310"/>
    <w:rsid w:val="00273CB3"/>
    <w:rsid w:val="002B4D88"/>
    <w:rsid w:val="002E0240"/>
    <w:rsid w:val="002E31CD"/>
    <w:rsid w:val="00302536"/>
    <w:rsid w:val="00314CD2"/>
    <w:rsid w:val="00322EE7"/>
    <w:rsid w:val="00360BD9"/>
    <w:rsid w:val="0036784C"/>
    <w:rsid w:val="003770A9"/>
    <w:rsid w:val="003A5101"/>
    <w:rsid w:val="003C7259"/>
    <w:rsid w:val="003D103E"/>
    <w:rsid w:val="003D5DB5"/>
    <w:rsid w:val="003D6C5F"/>
    <w:rsid w:val="003E5936"/>
    <w:rsid w:val="00440299"/>
    <w:rsid w:val="004A461A"/>
    <w:rsid w:val="004B2F9A"/>
    <w:rsid w:val="004B4AE2"/>
    <w:rsid w:val="004C5DE4"/>
    <w:rsid w:val="004E07F9"/>
    <w:rsid w:val="004E7A2E"/>
    <w:rsid w:val="00505DEE"/>
    <w:rsid w:val="005272C3"/>
    <w:rsid w:val="00572F66"/>
    <w:rsid w:val="005B08B8"/>
    <w:rsid w:val="00633CEA"/>
    <w:rsid w:val="00637944"/>
    <w:rsid w:val="006436EB"/>
    <w:rsid w:val="006608A5"/>
    <w:rsid w:val="00676173"/>
    <w:rsid w:val="006915E5"/>
    <w:rsid w:val="006A6CB6"/>
    <w:rsid w:val="006D54CA"/>
    <w:rsid w:val="006F1917"/>
    <w:rsid w:val="007131B1"/>
    <w:rsid w:val="00720BAF"/>
    <w:rsid w:val="00721B49"/>
    <w:rsid w:val="0072566A"/>
    <w:rsid w:val="007270DF"/>
    <w:rsid w:val="0074431E"/>
    <w:rsid w:val="00746787"/>
    <w:rsid w:val="00755B0D"/>
    <w:rsid w:val="00765DEC"/>
    <w:rsid w:val="00770059"/>
    <w:rsid w:val="0077329A"/>
    <w:rsid w:val="007A53C6"/>
    <w:rsid w:val="007C7B4C"/>
    <w:rsid w:val="007D18E5"/>
    <w:rsid w:val="007E052C"/>
    <w:rsid w:val="008256F4"/>
    <w:rsid w:val="0082778C"/>
    <w:rsid w:val="0083015A"/>
    <w:rsid w:val="00860E60"/>
    <w:rsid w:val="00865DAE"/>
    <w:rsid w:val="008667A1"/>
    <w:rsid w:val="00867914"/>
    <w:rsid w:val="008D0D84"/>
    <w:rsid w:val="008F682C"/>
    <w:rsid w:val="0090404F"/>
    <w:rsid w:val="00907617"/>
    <w:rsid w:val="009243D3"/>
    <w:rsid w:val="0096624C"/>
    <w:rsid w:val="00980293"/>
    <w:rsid w:val="00986080"/>
    <w:rsid w:val="0099269F"/>
    <w:rsid w:val="009A726E"/>
    <w:rsid w:val="009B5881"/>
    <w:rsid w:val="00A640DF"/>
    <w:rsid w:val="00A665C6"/>
    <w:rsid w:val="00A73B8A"/>
    <w:rsid w:val="00A95B4B"/>
    <w:rsid w:val="00AA3D62"/>
    <w:rsid w:val="00AB0B88"/>
    <w:rsid w:val="00AB53A5"/>
    <w:rsid w:val="00AC4910"/>
    <w:rsid w:val="00AC7B6A"/>
    <w:rsid w:val="00B01C1E"/>
    <w:rsid w:val="00B114E4"/>
    <w:rsid w:val="00B252C7"/>
    <w:rsid w:val="00B3239D"/>
    <w:rsid w:val="00B41C32"/>
    <w:rsid w:val="00B4628E"/>
    <w:rsid w:val="00B63BB0"/>
    <w:rsid w:val="00BA64AE"/>
    <w:rsid w:val="00BB196B"/>
    <w:rsid w:val="00BC4639"/>
    <w:rsid w:val="00BD16F4"/>
    <w:rsid w:val="00BD610A"/>
    <w:rsid w:val="00BE3637"/>
    <w:rsid w:val="00BE77D3"/>
    <w:rsid w:val="00BF1A0C"/>
    <w:rsid w:val="00BF66C0"/>
    <w:rsid w:val="00C1242D"/>
    <w:rsid w:val="00C15B62"/>
    <w:rsid w:val="00C2568F"/>
    <w:rsid w:val="00C34408"/>
    <w:rsid w:val="00C46267"/>
    <w:rsid w:val="00C543D9"/>
    <w:rsid w:val="00C60A8D"/>
    <w:rsid w:val="00C65C81"/>
    <w:rsid w:val="00C7379C"/>
    <w:rsid w:val="00C956FF"/>
    <w:rsid w:val="00CA5CA1"/>
    <w:rsid w:val="00CC3961"/>
    <w:rsid w:val="00CF245E"/>
    <w:rsid w:val="00CF7973"/>
    <w:rsid w:val="00D1598E"/>
    <w:rsid w:val="00D34E80"/>
    <w:rsid w:val="00D704E2"/>
    <w:rsid w:val="00D75B00"/>
    <w:rsid w:val="00DA2525"/>
    <w:rsid w:val="00DC3B05"/>
    <w:rsid w:val="00DD6166"/>
    <w:rsid w:val="00E0301E"/>
    <w:rsid w:val="00E04A79"/>
    <w:rsid w:val="00E25050"/>
    <w:rsid w:val="00E56179"/>
    <w:rsid w:val="00E71ED9"/>
    <w:rsid w:val="00E94C8A"/>
    <w:rsid w:val="00EB31EB"/>
    <w:rsid w:val="00EC032D"/>
    <w:rsid w:val="00F13FB8"/>
    <w:rsid w:val="00F35E85"/>
    <w:rsid w:val="00F44068"/>
    <w:rsid w:val="00F6021A"/>
    <w:rsid w:val="00FB2456"/>
    <w:rsid w:val="00FD54F2"/>
    <w:rsid w:val="00FF422D"/>
    <w:rsid w:val="00FF6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赵观石</dc:creator>
  <cp:lastModifiedBy>赵观石</cp:lastModifiedBy>
  <cp:revision>1</cp:revision>
  <dcterms:created xsi:type="dcterms:W3CDTF">2015-10-28T01:30:00Z</dcterms:created>
  <dcterms:modified xsi:type="dcterms:W3CDTF">2015-10-28T01:31:00Z</dcterms:modified>
</cp:coreProperties>
</file>